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Мордовского УФАС России от 08.10.2021 по делу N 013/06/69-537/2021</w:t>
      </w:r>
    </w:p>
    <w:p>
      <w:pPr>
        <w:pStyle w:val="0"/>
        <w:jc w:val="both"/>
      </w:pPr>
      <w:r>
        <w:rPr>
          <w:sz w:val="20"/>
        </w:rPr>
        <w:t xml:space="preserve">Нарушение: ч. 7 ст. 69 Закона о контрактной системе.</w:t>
      </w:r>
    </w:p>
    <w:p>
      <w:pPr>
        <w:pStyle w:val="0"/>
        <w:jc w:val="both"/>
      </w:pPr>
      <w:r>
        <w:rPr>
          <w:sz w:val="20"/>
        </w:rPr>
        <w:t xml:space="preserve">Решение: Признать жалобу обоснованной; предписание не выдавать.</w:t>
      </w:r>
    </w:p>
    <w:p>
      <w:pPr>
        <w:pStyle w:val="0"/>
      </w:pPr>
      <w:r>
        <w:rPr>
          <w:sz w:val="20"/>
          <w:b w:val="on"/>
        </w:rPr>
        <w:t xml:space="preserve">Примечание к документу</w:t>
      </w:r>
    </w:p>
    <w:p>
      <w:pPr>
        <w:pStyle w:val="0"/>
        <w:jc w:val="both"/>
      </w:pPr>
      <w:r>
        <w:rPr>
          <w:sz w:val="20"/>
        </w:rPr>
        <w:t xml:space="preserve">Текст документа приведен в соответствии с публикацией на сайте </w:t>
      </w:r>
      <w:r>
        <w:rPr>
          <w:sz w:val="20"/>
        </w:rPr>
        <w:t xml:space="preserve">https://zakupki.gov.ru</w:t>
      </w:r>
      <w:r>
        <w:rPr>
          <w:sz w:val="20"/>
        </w:rPr>
        <w:t xml:space="preserve"> по состоянию на 14.10.2021.</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УПРАВЛЕНИЕ ФЕДЕРАЛЬНОЙ АНТИМОНОПОЛЬНОЙ СЛУЖБЫ</w:t>
      </w:r>
    </w:p>
    <w:p>
      <w:pPr>
        <w:pStyle w:val="2"/>
        <w:jc w:val="center"/>
      </w:pPr>
      <w:r>
        <w:rPr>
          <w:sz w:val="20"/>
        </w:rPr>
        <w:t xml:space="preserve">ПО РЕСПУБЛИКЕ МОРДОВИЯ</w:t>
      </w:r>
    </w:p>
    <w:p>
      <w:pPr>
        <w:pStyle w:val="2"/>
        <w:jc w:val="center"/>
      </w:pPr>
      <w:r>
        <w:rPr>
          <w:sz w:val="20"/>
        </w:rPr>
      </w:r>
    </w:p>
    <w:p>
      <w:pPr>
        <w:pStyle w:val="2"/>
        <w:jc w:val="center"/>
      </w:pPr>
      <w:r>
        <w:rPr>
          <w:sz w:val="20"/>
        </w:rPr>
        <w:t xml:space="preserve">РЕШЕНИЕ</w:t>
      </w:r>
    </w:p>
    <w:p>
      <w:pPr>
        <w:pStyle w:val="2"/>
        <w:jc w:val="center"/>
      </w:pPr>
      <w:r>
        <w:rPr>
          <w:sz w:val="20"/>
        </w:rPr>
        <w:t xml:space="preserve">от 8 октября 2021 г. по делу N 013/06/69-537/2021</w:t>
      </w:r>
    </w:p>
    <w:p>
      <w:pPr>
        <w:pStyle w:val="0"/>
        <w:ind w:firstLine="540"/>
        <w:jc w:val="both"/>
      </w:pPr>
      <w:r>
        <w:rPr>
          <w:sz w:val="20"/>
        </w:rPr>
      </w:r>
    </w:p>
    <w:p>
      <w:pPr>
        <w:pStyle w:val="0"/>
        <w:ind w:firstLine="540"/>
        <w:jc w:val="both"/>
      </w:pPr>
      <w:r>
        <w:rPr>
          <w:sz w:val="20"/>
        </w:rPr>
        <w:t xml:space="preserve">Комиссия Управления Федеральной антимонопольной службы по Республике Мордовия (далее - Мордовское УФАС России, Управление) по контролю в сфере закупок (далее - Комиссия) в составе:</w:t>
      </w:r>
    </w:p>
    <w:p>
      <w:pPr>
        <w:pStyle w:val="0"/>
        <w:spacing w:before="200" w:line-rule="auto"/>
        <w:ind w:firstLine="540"/>
        <w:jc w:val="both"/>
      </w:pPr>
      <w:r>
        <w:rPr>
          <w:sz w:val="20"/>
        </w:rPr>
        <w:t xml:space="preserve">Рассмотрев 08 октября 2021 года, посредством видеоконференцсвязи, жалобу общества с ограниченной ответственностью "*" (далее - Заявитель, ООО "*") на действия единой Комиссии * (далее - Заказчик) при проведении электронного Аукциона N 0109100002421000045 на проведение оценки рыночной стоимости акций акционерного общества (далее - Аукцион) и в результате проведения внеплановой проверки в соответствии с </w:t>
      </w:r>
      <w:r>
        <w:rPr>
          <w:sz w:val="20"/>
        </w:rPr>
        <w:t xml:space="preserve">пунктом 1 части 15 статьи 99</w:t>
      </w:r>
      <w:r>
        <w:rPr>
          <w:sz w:val="20"/>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w:t>
      </w:r>
      <w:r>
        <w:rPr>
          <w:sz w:val="20"/>
        </w:rPr>
        <w:t xml:space="preserve">пунктом 3.30</w:t>
      </w:r>
      <w:r>
        <w:rPr>
          <w:sz w:val="20"/>
        </w:rPr>
        <w:t xml:space="preserve"> Административного регламента Федеральной антимонопольной службы по исполнению государственной функции по рассмотрению жалоб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при определении поставщиков (подрядчиков, исполнителей) для обеспечения государственных и муниципальных нужд, утвержденного Приказом ФАС России от 19.11.2014 N 727/14,</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В Мордовское УФАС России 01 октября 2021 года поступила жалоба Заявителя на действия единой Комиссии Заказчика.</w:t>
      </w:r>
    </w:p>
    <w:p>
      <w:pPr>
        <w:pStyle w:val="0"/>
        <w:spacing w:before="200" w:line-rule="auto"/>
        <w:ind w:firstLine="540"/>
        <w:jc w:val="both"/>
      </w:pPr>
      <w:r>
        <w:rPr>
          <w:sz w:val="20"/>
        </w:rPr>
        <w:t xml:space="preserve">Уведомлением Мордовского УФАС России о назначении дела N 013/06/69-537/2021 о нарушении законодательства в сфере закупок от 05 октября 2021 года N 651 рассмотрение жалобы назначено на 07 октября 2021 года в 12 часов 00 минут. В процессе заседания Комиссии Мордовского УФАС России объявлялся перерыв до 10 часов 30 минут 08 октября 2021 года.</w:t>
      </w:r>
    </w:p>
    <w:p>
      <w:pPr>
        <w:pStyle w:val="0"/>
        <w:spacing w:before="200" w:line-rule="auto"/>
        <w:ind w:firstLine="540"/>
        <w:jc w:val="both"/>
      </w:pPr>
      <w:r>
        <w:rPr>
          <w:sz w:val="20"/>
        </w:rPr>
        <w:t xml:space="preserve">Изучив материалы дела, проанализировав содержание жалобы Заявителя, действия единой Комиссии Заказчика, исследовав имеющиеся в деле доказательства, Комиссия Мордовского УФАС России установила следующее.</w:t>
      </w:r>
    </w:p>
    <w:p>
      <w:pPr>
        <w:pStyle w:val="0"/>
        <w:spacing w:before="200" w:line-rule="auto"/>
        <w:ind w:firstLine="540"/>
        <w:jc w:val="both"/>
      </w:pPr>
      <w:r>
        <w:rPr>
          <w:sz w:val="20"/>
        </w:rPr>
        <w:t xml:space="preserve">Извещение и документация о проведении Аукциона размещены на официальном сайте единой информационной системы в сфере закупок: </w:t>
      </w:r>
      <w:r>
        <w:rPr>
          <w:sz w:val="20"/>
        </w:rPr>
        <w:t xml:space="preserve">http://zakupki.gov.ru</w:t>
      </w:r>
      <w:r>
        <w:rPr>
          <w:sz w:val="20"/>
        </w:rPr>
        <w:t xml:space="preserve"> (далее - ЕИС) 14.09.2021 г.</w:t>
      </w:r>
    </w:p>
    <w:p>
      <w:pPr>
        <w:pStyle w:val="0"/>
        <w:spacing w:before="200" w:line-rule="auto"/>
        <w:ind w:firstLine="540"/>
        <w:jc w:val="both"/>
      </w:pPr>
      <w:r>
        <w:rPr>
          <w:sz w:val="20"/>
        </w:rPr>
        <w:t xml:space="preserve">Начальная (максимальная) цена контракта: 650 000,00 рублей.</w:t>
      </w:r>
    </w:p>
    <w:p>
      <w:pPr>
        <w:pStyle w:val="0"/>
        <w:spacing w:before="200" w:line-rule="auto"/>
        <w:ind w:firstLine="540"/>
        <w:jc w:val="both"/>
      </w:pPr>
      <w:r>
        <w:rPr>
          <w:sz w:val="20"/>
        </w:rPr>
        <w:t xml:space="preserve">Дата и время окончания срока подачи заявок: 22.09.2021 10:00.</w:t>
      </w:r>
    </w:p>
    <w:p>
      <w:pPr>
        <w:pStyle w:val="0"/>
        <w:spacing w:before="200" w:line-rule="auto"/>
        <w:ind w:firstLine="540"/>
        <w:jc w:val="both"/>
      </w:pPr>
      <w:r>
        <w:rPr>
          <w:sz w:val="20"/>
        </w:rPr>
        <w:t xml:space="preserve">Дата окончания срока рассмотрения заявок: 23.09.2021.</w:t>
      </w:r>
    </w:p>
    <w:p>
      <w:pPr>
        <w:pStyle w:val="0"/>
        <w:spacing w:before="200" w:line-rule="auto"/>
        <w:ind w:firstLine="540"/>
        <w:jc w:val="both"/>
      </w:pPr>
      <w:r>
        <w:rPr>
          <w:sz w:val="20"/>
        </w:rPr>
        <w:t xml:space="preserve">Дата и время проведения Аукциона: 24.09.2021 11:30.</w:t>
      </w:r>
    </w:p>
    <w:p>
      <w:pPr>
        <w:pStyle w:val="0"/>
        <w:spacing w:before="200" w:line-rule="auto"/>
        <w:ind w:firstLine="540"/>
        <w:jc w:val="both"/>
      </w:pPr>
      <w:r>
        <w:rPr>
          <w:sz w:val="20"/>
        </w:rPr>
        <w:t xml:space="preserve">Согласно протоколу подведения итогов электронного аукциона N 37-ЭА-21/ОА от 28.09.2021 г. года по результатам рассмотрения первых частей заявок на участие в электронном аукционе единой Комиссией принято решение о допуске к участию в электронном аукционе и признании участниками аукциона участников, подавших заявки на участие в электронном аукционе с идентификационными номерами: 153, 146, 44, 67, 104, 209, 40, 6.</w:t>
      </w:r>
    </w:p>
    <w:p>
      <w:pPr>
        <w:pStyle w:val="0"/>
        <w:spacing w:before="200" w:line-rule="auto"/>
        <w:ind w:firstLine="540"/>
        <w:jc w:val="both"/>
      </w:pPr>
      <w:r>
        <w:rPr>
          <w:sz w:val="20"/>
        </w:rPr>
        <w:t xml:space="preserve">В ходе рассмотрения вторых частей заявок участников Аукциона единой Комиссией принято решение о соответствии заявок участников Аукциона с идентификационными номерами: 146, 44, 67, 104, 209, 40, 6 требованиям документации об аукционе, заявка под идентификационным номером 153 (заявка Заявителя) признана несоответствующей требованиям документации об аукционе "на основании </w:t>
      </w:r>
      <w:r>
        <w:rPr>
          <w:sz w:val="20"/>
        </w:rPr>
        <w:t xml:space="preserve">п. 2 ч. 6 ст. 69</w:t>
      </w:r>
      <w:r>
        <w:rPr>
          <w:sz w:val="20"/>
        </w:rPr>
        <w:t xml:space="preserve">, </w:t>
      </w:r>
      <w:r>
        <w:rPr>
          <w:sz w:val="20"/>
        </w:rPr>
        <w:t xml:space="preserve">ч. 1.1 ст. 31</w:t>
      </w:r>
      <w:r>
        <w:rPr>
          <w:sz w:val="20"/>
        </w:rPr>
        <w:t xml:space="preserve"> Федерального Закона РФ от 05.04.2013 N 44-ФЗ "О контрактной системе в сфере закупок товаров, работ, услуг для обеспечения государственных и муниципальных нужд" ООО "*" не соответствует дополнительным требованиям, установленным Информационной картой документации. Общество включено в Реестр недобросовестных поставщиков с реестровой записью N P2109887 от 06.08.2021".</w:t>
      </w:r>
    </w:p>
    <w:p>
      <w:pPr>
        <w:pStyle w:val="0"/>
        <w:spacing w:before="200" w:line-rule="auto"/>
        <w:ind w:firstLine="540"/>
        <w:jc w:val="both"/>
      </w:pPr>
      <w:r>
        <w:rPr>
          <w:sz w:val="20"/>
        </w:rPr>
        <w:t xml:space="preserve">По мнению Заявителя, в ходе рассмотрения вторых частей заявок единая Комиссия Заказчика неправомерно отклонила заявку участника Аукциона N 153 - ООО "*" на основании </w:t>
      </w:r>
      <w:r>
        <w:rPr>
          <w:sz w:val="20"/>
        </w:rPr>
        <w:t xml:space="preserve">п. 2 ч. 6 ст. 69</w:t>
      </w:r>
      <w:r>
        <w:rPr>
          <w:sz w:val="20"/>
        </w:rPr>
        <w:t xml:space="preserve">, </w:t>
      </w:r>
      <w:r>
        <w:rPr>
          <w:sz w:val="20"/>
        </w:rPr>
        <w:t xml:space="preserve">ч. 1.1 ст. 31</w:t>
      </w:r>
      <w:r>
        <w:rPr>
          <w:sz w:val="20"/>
        </w:rPr>
        <w:t xml:space="preserve"> Закона о контрактной системе.</w:t>
      </w:r>
    </w:p>
    <w:p>
      <w:pPr>
        <w:pStyle w:val="0"/>
        <w:spacing w:before="200" w:line-rule="auto"/>
        <w:ind w:firstLine="540"/>
        <w:jc w:val="both"/>
      </w:pPr>
      <w:r>
        <w:rPr>
          <w:sz w:val="20"/>
        </w:rPr>
        <w:t xml:space="preserve">Согласно </w:t>
      </w:r>
      <w:r>
        <w:rPr>
          <w:sz w:val="20"/>
        </w:rPr>
        <w:t xml:space="preserve">пункту 2 части 1 статьи 64</w:t>
      </w:r>
      <w:r>
        <w:rPr>
          <w:sz w:val="20"/>
        </w:rPr>
        <w:t xml:space="preserve"> Закона о контрактной системе документация об электронном аукционе наряду с информацией, указанной в извещении о проведении такого аукциона, должна содержать в том числе, требования к содержанию, составу заявки на участие в таком аукционе в соответствии с </w:t>
      </w:r>
      <w:r>
        <w:rPr>
          <w:sz w:val="20"/>
        </w:rPr>
        <w:t xml:space="preserve">частями 3</w:t>
      </w:r>
      <w:r>
        <w:rPr>
          <w:sz w:val="20"/>
        </w:rPr>
        <w:t xml:space="preserve"> - </w:t>
      </w:r>
      <w:r>
        <w:rPr>
          <w:sz w:val="20"/>
        </w:rPr>
        <w:t xml:space="preserve">6 статьи 66</w:t>
      </w:r>
      <w:r>
        <w:rPr>
          <w:sz w:val="20"/>
        </w:rPr>
        <w:t xml:space="preserve"> настоящего Федерального закона и инструкция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pPr>
        <w:pStyle w:val="0"/>
        <w:spacing w:before="200" w:line-rule="auto"/>
        <w:ind w:firstLine="540"/>
        <w:jc w:val="both"/>
      </w:pPr>
      <w:r>
        <w:rPr>
          <w:sz w:val="20"/>
        </w:rPr>
        <w:t xml:space="preserve">В соответствии с </w:t>
      </w:r>
      <w:r>
        <w:rPr>
          <w:sz w:val="20"/>
        </w:rPr>
        <w:t xml:space="preserve">частью 2 статьи 66</w:t>
      </w:r>
      <w:r>
        <w:rPr>
          <w:sz w:val="20"/>
        </w:rPr>
        <w:t xml:space="preserve"> Закона о контрактной системе заявка на участие в электронном аукционе состоит из двух частей.</w:t>
      </w:r>
    </w:p>
    <w:p>
      <w:pPr>
        <w:pStyle w:val="0"/>
        <w:spacing w:before="200" w:line-rule="auto"/>
        <w:ind w:firstLine="540"/>
        <w:jc w:val="both"/>
      </w:pPr>
      <w:r>
        <w:rPr>
          <w:sz w:val="20"/>
        </w:rPr>
        <w:t xml:space="preserve">Пунктом 5 статьи 66</w:t>
      </w:r>
      <w:r>
        <w:rPr>
          <w:sz w:val="20"/>
        </w:rPr>
        <w:t xml:space="preserve"> Закона о контрактной системе установлено, что вторая часть заявки на участие в электронном аукционе должна содержать следующие документы и информацию:</w:t>
      </w:r>
    </w:p>
    <w:p>
      <w:pPr>
        <w:pStyle w:val="0"/>
        <w:spacing w:before="200" w:line-rule="auto"/>
        <w:ind w:firstLine="540"/>
        <w:jc w:val="both"/>
      </w:pPr>
      <w:r>
        <w:rPr>
          <w:sz w:val="20"/>
        </w:rPr>
        <w:t xml:space="preserve">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участника такого аукциона;</w:t>
      </w:r>
    </w:p>
    <w:p>
      <w:pPr>
        <w:pStyle w:val="0"/>
        <w:spacing w:before="200" w:line-rule="auto"/>
        <w:ind w:firstLine="540"/>
        <w:jc w:val="both"/>
      </w:pPr>
      <w:r>
        <w:rPr>
          <w:sz w:val="20"/>
        </w:rPr>
        <w:t xml:space="preserve">2) документы, подтверждающие соответствие участника такого аукциона требованиям, установленным </w:t>
      </w:r>
      <w:r>
        <w:rPr>
          <w:sz w:val="20"/>
        </w:rPr>
        <w:t xml:space="preserve">пунктом 1 части 1 статьи 31</w:t>
      </w:r>
      <w:r>
        <w:rPr>
          <w:sz w:val="20"/>
        </w:rPr>
        <w:t xml:space="preserve"> настоящего Федерального закона, или копии этих документов, а также декларация о соответствии участника такого аукциона требованиям, установленным </w:t>
      </w:r>
      <w:r>
        <w:rPr>
          <w:sz w:val="20"/>
        </w:rPr>
        <w:t xml:space="preserve">пунктами 3</w:t>
      </w:r>
      <w:r>
        <w:rPr>
          <w:sz w:val="20"/>
        </w:rPr>
        <w:t xml:space="preserve"> - </w:t>
      </w:r>
      <w:r>
        <w:rPr>
          <w:sz w:val="20"/>
        </w:rPr>
        <w:t xml:space="preserve">9 части 1 статьи 31</w:t>
      </w:r>
      <w:r>
        <w:rPr>
          <w:sz w:val="20"/>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pPr>
        <w:pStyle w:val="0"/>
        <w:spacing w:before="200" w:line-rule="auto"/>
        <w:ind w:firstLine="540"/>
        <w:jc w:val="both"/>
      </w:pPr>
      <w:r>
        <w:rPr>
          <w:sz w:val="20"/>
        </w:rPr>
        <w:t xml:space="preserve">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pPr>
        <w:pStyle w:val="0"/>
        <w:spacing w:before="200" w:line-rule="auto"/>
        <w:ind w:firstLine="540"/>
        <w:jc w:val="both"/>
      </w:pPr>
      <w:r>
        <w:rPr>
          <w:sz w:val="20"/>
        </w:rPr>
        <w:t xml:space="preserve">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pPr>
        <w:pStyle w:val="0"/>
        <w:spacing w:before="200" w:line-rule="auto"/>
        <w:ind w:firstLine="540"/>
        <w:jc w:val="both"/>
      </w:pPr>
      <w:r>
        <w:rPr>
          <w:sz w:val="20"/>
        </w:rPr>
        <w:t xml:space="preserve">5) документы, подтверждающие право участника электронного аукциона на получение преимуществ в соответствии со </w:t>
      </w:r>
      <w:r>
        <w:rPr>
          <w:sz w:val="20"/>
        </w:rPr>
        <w:t xml:space="preserve">статьями 28</w:t>
      </w:r>
      <w:r>
        <w:rPr>
          <w:sz w:val="20"/>
        </w:rPr>
        <w:t xml:space="preserve"> и </w:t>
      </w:r>
      <w:r>
        <w:rPr>
          <w:sz w:val="20"/>
        </w:rPr>
        <w:t xml:space="preserve">29</w:t>
      </w:r>
      <w:r>
        <w:rPr>
          <w:sz w:val="20"/>
        </w:rPr>
        <w:t xml:space="preserve"> настоящего Федерального закона (в случае, если участник электронного аукциона заявил о получении указанных преимуществ), или копии таких документов;</w:t>
      </w:r>
    </w:p>
    <w:p>
      <w:pPr>
        <w:pStyle w:val="0"/>
        <w:spacing w:before="200" w:line-rule="auto"/>
        <w:ind w:firstLine="540"/>
        <w:jc w:val="both"/>
      </w:pPr>
      <w:r>
        <w:rPr>
          <w:sz w:val="20"/>
        </w:rPr>
        <w:t xml:space="preserve">6) документы, предусмотренные нормативными правовыми актами, принятыми в соответствии со </w:t>
      </w:r>
      <w:r>
        <w:rPr>
          <w:sz w:val="20"/>
        </w:rPr>
        <w:t xml:space="preserve">статьей 14</w:t>
      </w:r>
      <w:r>
        <w:rPr>
          <w:sz w:val="20"/>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pPr>
        <w:pStyle w:val="0"/>
        <w:spacing w:before="200" w:line-rule="auto"/>
        <w:ind w:firstLine="540"/>
        <w:jc w:val="both"/>
      </w:pPr>
      <w:r>
        <w:rPr>
          <w:sz w:val="20"/>
        </w:rPr>
        <w:t xml:space="preserve">7)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r>
        <w:rPr>
          <w:sz w:val="20"/>
        </w:rPr>
        <w:t xml:space="preserve">частью 3 статьи 30</w:t>
      </w:r>
      <w:r>
        <w:rPr>
          <w:sz w:val="20"/>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pPr>
        <w:pStyle w:val="0"/>
        <w:spacing w:before="200" w:line-rule="auto"/>
        <w:ind w:firstLine="540"/>
        <w:jc w:val="both"/>
      </w:pPr>
      <w:r>
        <w:rPr>
          <w:sz w:val="20"/>
        </w:rPr>
        <w:t xml:space="preserve">Согласно </w:t>
      </w:r>
      <w:r>
        <w:rPr>
          <w:sz w:val="20"/>
        </w:rPr>
        <w:t xml:space="preserve">части 6 статьи 66</w:t>
      </w:r>
      <w:r>
        <w:rPr>
          <w:sz w:val="20"/>
        </w:rPr>
        <w:t xml:space="preserve"> Закона о контрактной системе требовать от участника электронного аукциона предоставления иных документов и информации, за исключением предусмотренных частями 3 или 3.1 и 5 настоящей статьи документов и информации, не допускается.</w:t>
      </w:r>
    </w:p>
    <w:p>
      <w:pPr>
        <w:pStyle w:val="0"/>
        <w:spacing w:before="200" w:line-rule="auto"/>
        <w:ind w:firstLine="540"/>
        <w:jc w:val="both"/>
      </w:pPr>
      <w:r>
        <w:rPr>
          <w:sz w:val="20"/>
        </w:rPr>
        <w:t xml:space="preserve">В соответствии с </w:t>
      </w:r>
      <w:r>
        <w:rPr>
          <w:sz w:val="20"/>
        </w:rPr>
        <w:t xml:space="preserve">частью 1 статьи 69</w:t>
      </w:r>
      <w:r>
        <w:rPr>
          <w:sz w:val="20"/>
        </w:rPr>
        <w:t xml:space="preserve"> Закона о контрактной системе аукционная комиссия рассматривает вторые части заявок на участие в электронном аукционе и документы, направленные заказчику оператором электронной площадки в соответствии с </w:t>
      </w:r>
      <w:r>
        <w:rPr>
          <w:sz w:val="20"/>
        </w:rPr>
        <w:t xml:space="preserve">частью 19 статьи 68</w:t>
      </w:r>
      <w:r>
        <w:rPr>
          <w:sz w:val="20"/>
        </w:rPr>
        <w:t xml:space="preserve"> Закона о контрактной системе, в части соответствия их требованиям, установленным документацией о таком аукционе.</w:t>
      </w:r>
    </w:p>
    <w:p>
      <w:pPr>
        <w:pStyle w:val="0"/>
        <w:spacing w:before="200" w:line-rule="auto"/>
        <w:ind w:firstLine="540"/>
        <w:jc w:val="both"/>
      </w:pPr>
      <w:r>
        <w:rPr>
          <w:sz w:val="20"/>
        </w:rPr>
        <w:t xml:space="preserve">Согласно </w:t>
      </w:r>
      <w:r>
        <w:rPr>
          <w:sz w:val="20"/>
        </w:rPr>
        <w:t xml:space="preserve">части 2 статьи 69</w:t>
      </w:r>
      <w:r>
        <w:rPr>
          <w:sz w:val="20"/>
        </w:rPr>
        <w:t xml:space="preserve"> Закона о контрактной системе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 Для принятия указанного решения аукционная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p>
    <w:p>
      <w:pPr>
        <w:pStyle w:val="0"/>
        <w:spacing w:before="200" w:line-rule="auto"/>
        <w:ind w:firstLine="540"/>
        <w:jc w:val="both"/>
      </w:pPr>
      <w:r>
        <w:rPr>
          <w:sz w:val="20"/>
        </w:rPr>
        <w:t xml:space="preserve">Частью 6 статьи 69</w:t>
      </w:r>
      <w:r>
        <w:rPr>
          <w:sz w:val="20"/>
        </w:rPr>
        <w:t xml:space="preserve"> Закона о контрактной системе установлено, что заявка на участие в электронном аукционе признается не соответствующей требованиям, установленным документацией о таком аукционе, в случае:</w:t>
      </w:r>
    </w:p>
    <w:p>
      <w:pPr>
        <w:pStyle w:val="0"/>
        <w:spacing w:before="200" w:line-rule="auto"/>
        <w:ind w:firstLine="540"/>
        <w:jc w:val="both"/>
      </w:pPr>
      <w:r>
        <w:rPr>
          <w:sz w:val="20"/>
        </w:rPr>
        <w:t xml:space="preserve">1) непредставления документов и информации, которые предусмотрены </w:t>
      </w:r>
      <w:r>
        <w:rPr>
          <w:sz w:val="20"/>
        </w:rPr>
        <w:t xml:space="preserve">частью 11 статьи 24.1</w:t>
      </w:r>
      <w:r>
        <w:rPr>
          <w:sz w:val="20"/>
        </w:rPr>
        <w:t xml:space="preserve">, </w:t>
      </w:r>
      <w:r>
        <w:rPr>
          <w:sz w:val="20"/>
        </w:rPr>
        <w:t xml:space="preserve">частями 3</w:t>
      </w:r>
      <w:r>
        <w:rPr>
          <w:sz w:val="20"/>
        </w:rPr>
        <w:t xml:space="preserve"> или </w:t>
      </w:r>
      <w:r>
        <w:rPr>
          <w:sz w:val="20"/>
        </w:rPr>
        <w:t xml:space="preserve">3.1</w:t>
      </w:r>
      <w:r>
        <w:rPr>
          <w:sz w:val="20"/>
        </w:rPr>
        <w:t xml:space="preserve">, </w:t>
      </w:r>
      <w:r>
        <w:rPr>
          <w:sz w:val="20"/>
        </w:rPr>
        <w:t xml:space="preserve">5</w:t>
      </w:r>
      <w:r>
        <w:rPr>
          <w:sz w:val="20"/>
        </w:rPr>
        <w:t xml:space="preserve">, </w:t>
      </w:r>
      <w:r>
        <w:rPr>
          <w:sz w:val="20"/>
        </w:rPr>
        <w:t xml:space="preserve">8.2 статьи 66</w:t>
      </w:r>
      <w:r>
        <w:rPr>
          <w:sz w:val="20"/>
        </w:rPr>
        <w:t xml:space="preserve"> настоящего Федерального закона,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pPr>
        <w:pStyle w:val="0"/>
        <w:spacing w:before="200" w:line-rule="auto"/>
        <w:ind w:firstLine="540"/>
        <w:jc w:val="both"/>
      </w:pPr>
      <w:r>
        <w:rPr>
          <w:sz w:val="20"/>
        </w:rPr>
        <w:t xml:space="preserve">2) несоответствия участника такого аукциона требованиям, установленным в соответствии с </w:t>
      </w:r>
      <w:r>
        <w:rPr>
          <w:sz w:val="20"/>
        </w:rPr>
        <w:t xml:space="preserve">частью 1</w:t>
      </w:r>
      <w:r>
        <w:rPr>
          <w:sz w:val="20"/>
        </w:rPr>
        <w:t xml:space="preserve">, </w:t>
      </w:r>
      <w:r>
        <w:rPr>
          <w:sz w:val="20"/>
        </w:rPr>
        <w:t xml:space="preserve">частями 1.1</w:t>
      </w:r>
      <w:r>
        <w:rPr>
          <w:sz w:val="20"/>
        </w:rPr>
        <w:t xml:space="preserve">, </w:t>
      </w:r>
      <w:r>
        <w:rPr>
          <w:sz w:val="20"/>
        </w:rPr>
        <w:t xml:space="preserve">2</w:t>
      </w:r>
      <w:r>
        <w:rPr>
          <w:sz w:val="20"/>
        </w:rPr>
        <w:t xml:space="preserve"> и </w:t>
      </w:r>
      <w:r>
        <w:rPr>
          <w:sz w:val="20"/>
        </w:rPr>
        <w:t xml:space="preserve">2.1 (при наличии таких требований) статьи 31</w:t>
      </w:r>
      <w:r>
        <w:rPr>
          <w:sz w:val="20"/>
        </w:rPr>
        <w:t xml:space="preserve"> настоящего Федерального закона;</w:t>
      </w:r>
    </w:p>
    <w:p>
      <w:pPr>
        <w:pStyle w:val="0"/>
        <w:spacing w:before="200" w:line-rule="auto"/>
        <w:ind w:firstLine="540"/>
        <w:jc w:val="both"/>
      </w:pPr>
      <w:r>
        <w:rPr>
          <w:sz w:val="20"/>
        </w:rPr>
        <w:t xml:space="preserve">3) предусмотренном нормативными правовыми актами, принятыми в соответствии со </w:t>
      </w:r>
      <w:r>
        <w:rPr>
          <w:sz w:val="20"/>
        </w:rPr>
        <w:t xml:space="preserve">статьей 14</w:t>
      </w:r>
      <w:r>
        <w:rPr>
          <w:sz w:val="20"/>
        </w:rPr>
        <w:t xml:space="preserve"> настоящего Федерального закона.</w:t>
      </w:r>
    </w:p>
    <w:p>
      <w:pPr>
        <w:pStyle w:val="0"/>
        <w:spacing w:before="200" w:line-rule="auto"/>
        <w:ind w:firstLine="540"/>
        <w:jc w:val="both"/>
      </w:pPr>
      <w:r>
        <w:rPr>
          <w:sz w:val="20"/>
        </w:rPr>
        <w:t xml:space="preserve">В соответствии с извещением о проведении электронного аукциона и документацией об Аукционе объектом закупки является проведение оценки рыночной стоимости акций акционерного общества.</w:t>
      </w:r>
    </w:p>
    <w:p>
      <w:pPr>
        <w:pStyle w:val="0"/>
        <w:spacing w:before="200" w:line-rule="auto"/>
        <w:ind w:firstLine="540"/>
        <w:jc w:val="both"/>
      </w:pPr>
      <w:r>
        <w:rPr>
          <w:sz w:val="20"/>
        </w:rPr>
        <w:t xml:space="preserve">В соответствии с пунктом 17 информационной карты аукционной документации (далее - информационная карта) Заказчиком установлено следующее дополнительное требование к участнику закупки:</w:t>
      </w:r>
    </w:p>
    <w:p>
      <w:pPr>
        <w:pStyle w:val="0"/>
        <w:spacing w:before="200" w:line-rule="auto"/>
        <w:ind w:firstLine="540"/>
        <w:jc w:val="both"/>
      </w:pPr>
      <w:r>
        <w:rPr>
          <w:sz w:val="20"/>
        </w:rPr>
        <w:t xml:space="preserve">- отсутствие в реестре недобросовестных поставщиков (подрядчиков, исполнителей) информации об участнике закупки - юридическом лице,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pPr>
        <w:pStyle w:val="0"/>
        <w:spacing w:before="200" w:line-rule="auto"/>
        <w:ind w:firstLine="540"/>
        <w:jc w:val="both"/>
      </w:pPr>
      <w:r>
        <w:rPr>
          <w:sz w:val="20"/>
        </w:rPr>
        <w:t xml:space="preserve">Согласно пункту 22 информационной карты аукционной документации заявка на участие в электронном аукционе признается не соответствующей требованиям, установленным настоящей документацией об электронном аукционе, в том числе, в случае несоответствия участника аукциона требованиям, установленным в соответствии с </w:t>
      </w:r>
      <w:r>
        <w:rPr>
          <w:sz w:val="20"/>
        </w:rPr>
        <w:t xml:space="preserve">частью 1</w:t>
      </w:r>
      <w:r>
        <w:rPr>
          <w:sz w:val="20"/>
        </w:rPr>
        <w:t xml:space="preserve">, </w:t>
      </w:r>
      <w:r>
        <w:rPr>
          <w:sz w:val="20"/>
        </w:rPr>
        <w:t xml:space="preserve">частями 1.1</w:t>
      </w:r>
      <w:r>
        <w:rPr>
          <w:sz w:val="20"/>
        </w:rPr>
        <w:t xml:space="preserve"> и </w:t>
      </w:r>
      <w:r>
        <w:rPr>
          <w:sz w:val="20"/>
        </w:rPr>
        <w:t xml:space="preserve">2 статьи 31</w:t>
      </w:r>
      <w:r>
        <w:rPr>
          <w:sz w:val="20"/>
        </w:rPr>
        <w:t xml:space="preserve"> федерального закона от 05.04.2013 г. N 44-ФЗ (при наличии таких требований в настоящей информационной карте аукциона).</w:t>
      </w:r>
    </w:p>
    <w:p>
      <w:pPr>
        <w:pStyle w:val="0"/>
        <w:spacing w:before="200" w:line-rule="auto"/>
        <w:ind w:firstLine="540"/>
        <w:jc w:val="both"/>
      </w:pPr>
      <w:r>
        <w:rPr>
          <w:sz w:val="20"/>
        </w:rPr>
        <w:t xml:space="preserve">На заседании Комиссии установлено, что информация о Заявителе внесена в реестр недобросовестных поставщиков (подрядчиков, исполнителей), ведение которого предусмотрено Федеральным законом от 18.07.2011 N 223-ФЗ "О закупках товаров, работ, услуг отдельными видами юридических лиц"(далее - Закон о закупках) (реестровый номер записи Р2109887 от 06.08.2021 г.), при этом, </w:t>
      </w:r>
      <w:r>
        <w:rPr>
          <w:sz w:val="20"/>
        </w:rPr>
        <w:t xml:space="preserve">правила</w:t>
      </w:r>
      <w:r>
        <w:rPr>
          <w:sz w:val="20"/>
        </w:rPr>
        <w:t xml:space="preserve"> ведения реестра недобросовестных поставщиков по Закону о закупках определены Постановлением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pPr>
        <w:pStyle w:val="0"/>
        <w:spacing w:before="200" w:line-rule="auto"/>
        <w:ind w:firstLine="540"/>
        <w:jc w:val="both"/>
      </w:pPr>
      <w:r>
        <w:rPr>
          <w:sz w:val="20"/>
        </w:rPr>
        <w:t xml:space="preserve">Вместе с тем, в соответствии с </w:t>
      </w:r>
      <w:r>
        <w:rPr>
          <w:sz w:val="20"/>
        </w:rPr>
        <w:t xml:space="preserve">Законом</w:t>
      </w:r>
      <w:r>
        <w:rPr>
          <w:sz w:val="20"/>
        </w:rPr>
        <w:t xml:space="preserve"> о контрактной системе осуществляется ведение реестра недобросовестных поставщиков в соответствии со </w:t>
      </w:r>
      <w:r>
        <w:rPr>
          <w:sz w:val="20"/>
        </w:rPr>
        <w:t xml:space="preserve">статьей 104</w:t>
      </w:r>
      <w:r>
        <w:rPr>
          <w:sz w:val="20"/>
        </w:rPr>
        <w:t xml:space="preserve"> Закона о контрактной системе и </w:t>
      </w:r>
      <w:r>
        <w:rPr>
          <w:sz w:val="20"/>
        </w:rPr>
        <w:t xml:space="preserve">Постановлением</w:t>
      </w:r>
      <w:r>
        <w:rPr>
          <w:sz w:val="20"/>
        </w:rPr>
        <w:t xml:space="preserve"> Правительства РФ от 25.11.2013 N 1062 "О порядке ведения реестра недобросовестных поставщиков (подрядчиков, исполнителей)".</w:t>
      </w:r>
    </w:p>
    <w:p>
      <w:pPr>
        <w:pStyle w:val="0"/>
        <w:spacing w:before="200" w:line-rule="auto"/>
        <w:ind w:firstLine="540"/>
        <w:jc w:val="both"/>
      </w:pPr>
      <w:r>
        <w:rPr>
          <w:sz w:val="20"/>
        </w:rPr>
        <w:t xml:space="preserve">Таким образом, законодательством Российской Федерации предусмотрено ведение двух реестров недобросовестных поставщиков. При этом согласно </w:t>
      </w:r>
      <w:r>
        <w:rPr>
          <w:sz w:val="20"/>
        </w:rPr>
        <w:t xml:space="preserve">части 1.1 статьи 31</w:t>
      </w:r>
      <w:r>
        <w:rPr>
          <w:sz w:val="20"/>
        </w:rPr>
        <w:t xml:space="preserve"> Закона о контрактной системе Заказчик вправе установить требование об отсутствии в предусмотренном </w:t>
      </w:r>
      <w:r>
        <w:rPr>
          <w:sz w:val="20"/>
        </w:rPr>
        <w:t xml:space="preserve">Законом</w:t>
      </w:r>
      <w:r>
        <w:rPr>
          <w:sz w:val="20"/>
        </w:rPr>
        <w:t xml:space="preserve"> о контрактной системе реестре недобросовестных поставщиков (подрядчиков, исполнителей) информации об участнике закупки.</w:t>
      </w:r>
    </w:p>
    <w:p>
      <w:pPr>
        <w:pStyle w:val="0"/>
        <w:spacing w:before="200" w:line-rule="auto"/>
        <w:ind w:firstLine="540"/>
        <w:jc w:val="both"/>
      </w:pPr>
      <w:r>
        <w:rPr>
          <w:sz w:val="20"/>
        </w:rPr>
        <w:t xml:space="preserve">Установлено, что сведения о Заявителе - ООО "*" в реестре недобросовестных поставщиков, предусмотренном </w:t>
      </w:r>
      <w:r>
        <w:rPr>
          <w:sz w:val="20"/>
        </w:rPr>
        <w:t xml:space="preserve">Законом</w:t>
      </w:r>
      <w:r>
        <w:rPr>
          <w:sz w:val="20"/>
        </w:rPr>
        <w:t xml:space="preserve"> о контрактной системе, отсутствуют.</w:t>
      </w:r>
    </w:p>
    <w:p>
      <w:pPr>
        <w:pStyle w:val="0"/>
        <w:spacing w:before="200" w:line-rule="auto"/>
        <w:ind w:firstLine="540"/>
        <w:jc w:val="both"/>
      </w:pPr>
      <w:r>
        <w:rPr>
          <w:sz w:val="20"/>
        </w:rPr>
        <w:t xml:space="preserve">В ходе заседании Комиссии Мордовского УФАС России представитель Заказчика с доводом жалобы Заявителя согласилась.</w:t>
      </w:r>
    </w:p>
    <w:p>
      <w:pPr>
        <w:pStyle w:val="0"/>
        <w:spacing w:before="200" w:line-rule="auto"/>
        <w:ind w:firstLine="540"/>
        <w:jc w:val="both"/>
      </w:pPr>
      <w:r>
        <w:rPr>
          <w:sz w:val="20"/>
        </w:rPr>
        <w:t xml:space="preserve">На основании вышеизложенного Комиссия Мордовского УФАС России приходит к выводу, что единая Комиссия Заказчика неправомерно признала заявку участника Аукциона несоответствующей требованиям </w:t>
      </w:r>
      <w:r>
        <w:rPr>
          <w:sz w:val="20"/>
        </w:rPr>
        <w:t xml:space="preserve">Закона</w:t>
      </w:r>
      <w:r>
        <w:rPr>
          <w:sz w:val="20"/>
        </w:rPr>
        <w:t xml:space="preserve"> о контрактной системе, что является нарушением требование </w:t>
      </w:r>
      <w:r>
        <w:rPr>
          <w:sz w:val="20"/>
        </w:rPr>
        <w:t xml:space="preserve">части 7 статьи 69</w:t>
      </w:r>
      <w:r>
        <w:rPr>
          <w:sz w:val="20"/>
        </w:rPr>
        <w:t xml:space="preserve"> Закона о контрактной системе и содержит признаки состава административного правонарушения, предусмотренного </w:t>
      </w:r>
      <w:r>
        <w:rPr>
          <w:sz w:val="20"/>
        </w:rPr>
        <w:t xml:space="preserve">частью 2 статьи 7.30</w:t>
      </w:r>
      <w:r>
        <w:rPr>
          <w:sz w:val="20"/>
        </w:rPr>
        <w:t xml:space="preserve"> КоАП РФ.</w:t>
      </w:r>
    </w:p>
    <w:p>
      <w:pPr>
        <w:pStyle w:val="0"/>
        <w:spacing w:before="200" w:line-rule="auto"/>
        <w:ind w:firstLine="540"/>
        <w:jc w:val="both"/>
      </w:pPr>
      <w:r>
        <w:rPr>
          <w:sz w:val="20"/>
        </w:rPr>
        <w:t xml:space="preserve">Жалоба Заявителя признана обоснованной.</w:t>
      </w:r>
    </w:p>
    <w:p>
      <w:pPr>
        <w:pStyle w:val="0"/>
        <w:spacing w:before="200" w:line-rule="auto"/>
        <w:ind w:firstLine="540"/>
        <w:jc w:val="both"/>
      </w:pPr>
      <w:r>
        <w:rPr>
          <w:sz w:val="20"/>
        </w:rPr>
        <w:t xml:space="preserve">В соответствии с пунктом 3.35 Административного регламента комиссия вправе не выдавать предписание только в случае выявления нарушений законодательства Российской Федерации и иных нормативных правовых актов о контрактной системе, которые не повлияли или не могли повлиять на результаты определения поставщика (подрядчика, исполнителя).</w:t>
      </w:r>
    </w:p>
    <w:p>
      <w:pPr>
        <w:pStyle w:val="0"/>
        <w:spacing w:before="200" w:line-rule="auto"/>
        <w:ind w:firstLine="540"/>
        <w:jc w:val="both"/>
      </w:pPr>
      <w:r>
        <w:rPr>
          <w:sz w:val="20"/>
        </w:rPr>
        <w:t xml:space="preserve">Согласно протоколу подведения итогов электронного Аукциона Заявитель с идентификационным номером 153 занял 4 место в соответствии с поступившем от него ценовым предложением 400 146,54 руб. При этом, положениями </w:t>
      </w:r>
      <w:r>
        <w:rPr>
          <w:sz w:val="20"/>
        </w:rPr>
        <w:t xml:space="preserve">статьи 83.2</w:t>
      </w:r>
      <w:r>
        <w:rPr>
          <w:sz w:val="20"/>
        </w:rPr>
        <w:t xml:space="preserve"> Закона о контрактной системе предусмотрена обязанность заключения контракта с победителем электронной процедуры, а также право Заказчика на направление проекта государственного контракта участнику закупки, заявке которого присвоен второй номер, что указывает на то, что заключения контракта с Заявителем, который занял в ходе проведения аукциона 4 место невозможно, что в свою очередь свидетельствует о том, что выявленные нарушения не повлияли на результаты определения поставщика (подрядчика, исполнителя).</w:t>
      </w:r>
    </w:p>
    <w:p>
      <w:pPr>
        <w:pStyle w:val="0"/>
        <w:spacing w:before="200" w:line-rule="auto"/>
        <w:ind w:firstLine="540"/>
        <w:jc w:val="both"/>
      </w:pPr>
      <w:r>
        <w:rPr>
          <w:sz w:val="20"/>
        </w:rPr>
        <w:t xml:space="preserve">Руководствуясь </w:t>
      </w:r>
      <w:r>
        <w:rPr>
          <w:sz w:val="20"/>
        </w:rPr>
        <w:t xml:space="preserve">п. 1 ч. 15</w:t>
      </w:r>
      <w:r>
        <w:rPr>
          <w:sz w:val="20"/>
        </w:rPr>
        <w:t xml:space="preserve">, </w:t>
      </w:r>
      <w:r>
        <w:rPr>
          <w:sz w:val="20"/>
        </w:rPr>
        <w:t xml:space="preserve">п. 2 ч. 22 ст. 99</w:t>
      </w:r>
      <w:r>
        <w:rPr>
          <w:sz w:val="20"/>
        </w:rPr>
        <w:t xml:space="preserve">, </w:t>
      </w:r>
      <w:r>
        <w:rPr>
          <w:sz w:val="20"/>
        </w:rPr>
        <w:t xml:space="preserve">ст. 106</w:t>
      </w:r>
      <w:r>
        <w:rPr>
          <w:sz w:val="20"/>
        </w:rPr>
        <w:t xml:space="preserve"> Закона о контрактной системе, Комиссия Мордовского УФАС России.</w:t>
      </w:r>
    </w:p>
    <w:p>
      <w:pPr>
        <w:pStyle w:val="0"/>
        <w:jc w:val="center"/>
      </w:pPr>
      <w:r>
        <w:rPr>
          <w:sz w:val="20"/>
        </w:rPr>
      </w:r>
    </w:p>
    <w:p>
      <w:pPr>
        <w:pStyle w:val="0"/>
        <w:jc w:val="center"/>
      </w:pPr>
      <w:r>
        <w:rPr>
          <w:sz w:val="20"/>
        </w:rPr>
        <w:t xml:space="preserve">решила:</w:t>
      </w:r>
    </w:p>
    <w:p>
      <w:pPr>
        <w:pStyle w:val="0"/>
        <w:jc w:val="center"/>
      </w:pPr>
      <w:r>
        <w:rPr>
          <w:sz w:val="20"/>
        </w:rPr>
      </w:r>
    </w:p>
    <w:p>
      <w:pPr>
        <w:pStyle w:val="0"/>
        <w:ind w:firstLine="540"/>
        <w:jc w:val="both"/>
      </w:pPr>
      <w:r>
        <w:rPr>
          <w:sz w:val="20"/>
        </w:rPr>
        <w:t xml:space="preserve">1. Признать жалобу общества с ограниченной ответственностью "*" на действия единой Комиссии Прокуратуры Республики Мордовия, обоснованной.</w:t>
      </w:r>
    </w:p>
    <w:p>
      <w:pPr>
        <w:pStyle w:val="0"/>
        <w:spacing w:before="200" w:line-rule="auto"/>
        <w:ind w:firstLine="540"/>
        <w:jc w:val="both"/>
      </w:pPr>
      <w:r>
        <w:rPr>
          <w:sz w:val="20"/>
        </w:rPr>
        <w:t xml:space="preserve">2. Признать в действиях Заказчика нарушение </w:t>
      </w:r>
      <w:r>
        <w:rPr>
          <w:sz w:val="20"/>
        </w:rPr>
        <w:t xml:space="preserve">части 7 статьи 69</w:t>
      </w:r>
      <w:r>
        <w:rPr>
          <w:sz w:val="20"/>
        </w:rPr>
        <w:t xml:space="preserve"> Закона о контрактной системе.</w:t>
      </w:r>
    </w:p>
    <w:p>
      <w:pPr>
        <w:pStyle w:val="0"/>
        <w:spacing w:before="200" w:line-rule="auto"/>
        <w:ind w:firstLine="540"/>
        <w:jc w:val="both"/>
      </w:pPr>
      <w:r>
        <w:rPr>
          <w:sz w:val="20"/>
        </w:rPr>
        <w:t xml:space="preserve">3.Обязательное для исполнения предписание об устранении нарушений законодательства о контрактной системе Заказчику не выдавать, поскольку выявленные нарушения не повлияли на результаты определения поставщика (подрядчика, исполнителя).</w:t>
      </w:r>
    </w:p>
    <w:p>
      <w:pPr>
        <w:pStyle w:val="0"/>
        <w:spacing w:before="200" w:line-rule="auto"/>
        <w:ind w:firstLine="540"/>
        <w:jc w:val="both"/>
      </w:pPr>
      <w:r>
        <w:rPr>
          <w:sz w:val="20"/>
        </w:rPr>
        <w:t xml:space="preserve">4.Передать материалы дела должностному лицу для решения вопроса о возбуждении производства об административном правонарушении.</w:t>
      </w:r>
    </w:p>
    <w:p>
      <w:pPr>
        <w:pStyle w:val="0"/>
        <w:spacing w:before="200" w:line-rule="auto"/>
        <w:ind w:firstLine="540"/>
        <w:jc w:val="both"/>
      </w:pPr>
      <w:r>
        <w:rPr>
          <w:sz w:val="20"/>
        </w:rPr>
        <w:t xml:space="preserve">Настоящее решение может быть обжаловано в судебном порядке в течение трех месяцев со дня его принятия.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4022.00.21</Application>
  <Company>КонсультантПлюс Версия 4022.00.21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Мордовского УФАС России от 08.10.2021 по делу N 013/06/69-537/2021
Нарушение: ч. 7 ст. 69 Закона о контрактной системе.
Решение: Признать жалобу обоснованной; предписание не выдавать.</dc:title>
  <dcterms:created xsi:type="dcterms:W3CDTF">2022-10-03T09:38:13Z</dcterms:created>
</cp:coreProperties>
</file>